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7866C8">
      <w:pPr>
        <w:spacing w:after="0" w:line="240" w:lineRule="auto"/>
        <w:jc w:val="center"/>
        <w:rPr>
          <w:rFonts w:ascii="Times New Roman" w:eastAsia="Times New Roman" w:hAnsi="Times New Roman" w:cs="Courier New"/>
          <w:sz w:val="20"/>
          <w:szCs w:val="20"/>
        </w:rPr>
      </w:pPr>
      <w:r w:rsidRPr="007866C8">
        <w:rPr>
          <w:rFonts w:ascii="Times New Roman" w:eastAsia="Times New Roman" w:hAnsi="Times New Roman" w:cs="Courier New"/>
          <w:noProof/>
          <w:sz w:val="20"/>
          <w:szCs w:val="20"/>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firstRow="1" w:lastRow="1" w:firstColumn="1" w:lastColumn="1" w:noHBand="0" w:noVBand="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r w:rsidR="00DB5F81">
              <w:rPr>
                <w:rFonts w:ascii="Times New Roman" w:hAnsi="Times New Roman" w:cs="Times New Roman"/>
                <w:sz w:val="24"/>
                <w:szCs w:val="24"/>
              </w:rPr>
              <w:t xml:space="preserve"> </w:t>
            </w:r>
            <w:r w:rsidRPr="00640621">
              <w:rPr>
                <w:rFonts w:ascii="Times New Roman" w:hAnsi="Times New Roman" w:cs="Times New Roman"/>
                <w:sz w:val="24"/>
                <w:szCs w:val="24"/>
              </w:rPr>
              <w:t xml:space="preserve">«Формирование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xml:space="preserve">, </w:t>
            </w:r>
            <w:proofErr w:type="gramStart"/>
            <w:r w:rsidR="00E92A67">
              <w:rPr>
                <w:rFonts w:ascii="Times New Roman" w:hAnsi="Times New Roman" w:cs="Times New Roman"/>
                <w:sz w:val="24"/>
                <w:szCs w:val="24"/>
              </w:rPr>
              <w:t>от</w:t>
            </w:r>
            <w:proofErr w:type="gramEnd"/>
            <w:r w:rsidR="00E92A67">
              <w:rPr>
                <w:rFonts w:ascii="Times New Roman" w:hAnsi="Times New Roman" w:cs="Times New Roman"/>
                <w:sz w:val="24"/>
                <w:szCs w:val="24"/>
              </w:rPr>
              <w:t xml:space="preserve"> 11.05.2021 № 387</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proofErr w:type="spellStart"/>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многоквартирных</w:t>
            </w:r>
            <w:proofErr w:type="spellEnd"/>
            <w:r w:rsidR="00971573">
              <w:rPr>
                <w:rFonts w:ascii="Times New Roman" w:eastAsia="Times New Roman" w:hAnsi="Times New Roman" w:cs="Times New Roman"/>
                <w:sz w:val="24"/>
                <w:szCs w:val="24"/>
              </w:rPr>
              <w:t xml:space="preserve">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28502,86013 тыс. рублей, из них:</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- 1097,44843 тысяч рублей за счет средств бюджета Александровского района;</w:t>
            </w:r>
          </w:p>
          <w:p w:rsidR="00E92A67" w:rsidRPr="00E92A67"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- 1802,16295 тысяч рублей за счёт средств областного бюджета;</w:t>
            </w:r>
          </w:p>
          <w:p w:rsidR="00640621" w:rsidRPr="00640621" w:rsidRDefault="00E92A67" w:rsidP="00E92A67">
            <w:pPr>
              <w:widowControl w:val="0"/>
              <w:autoSpaceDE w:val="0"/>
              <w:autoSpaceDN w:val="0"/>
              <w:spacing w:after="0" w:line="240" w:lineRule="auto"/>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- 25603,24875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lastRenderedPageBreak/>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lastRenderedPageBreak/>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w:t>
      </w:r>
      <w:r w:rsidRPr="00640621">
        <w:rPr>
          <w:rFonts w:ascii="Times New Roman" w:eastAsia="Times New Roman" w:hAnsi="Times New Roman" w:cs="Times New Roman"/>
          <w:sz w:val="24"/>
          <w:szCs w:val="24"/>
        </w:rPr>
        <w:lastRenderedPageBreak/>
        <w:t>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Количество реализованных </w:t>
            </w:r>
            <w:r w:rsidRPr="00640621">
              <w:rPr>
                <w:rFonts w:ascii="Times New Roman" w:eastAsia="Times New Roman" w:hAnsi="Times New Roman" w:cs="Times New Roman"/>
                <w:sz w:val="24"/>
                <w:szCs w:val="24"/>
              </w:rPr>
              <w:lastRenderedPageBreak/>
              <w:t>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lastRenderedPageBreak/>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w:t>
      </w:r>
      <w:proofErr w:type="gramStart"/>
      <w:r w:rsidRPr="008E176E">
        <w:rPr>
          <w:rFonts w:ascii="Times New Roman" w:eastAsia="Times New Roman" w:hAnsi="Times New Roman" w:cs="Times New Roman"/>
          <w:sz w:val="24"/>
          <w:szCs w:val="24"/>
        </w:rPr>
        <w:t>связи</w:t>
      </w:r>
      <w:proofErr w:type="gramEnd"/>
      <w:r w:rsidRPr="008E176E">
        <w:rPr>
          <w:rFonts w:ascii="Times New Roman" w:eastAsia="Times New Roman" w:hAnsi="Times New Roman" w:cs="Times New Roman"/>
          <w:sz w:val="24"/>
          <w:szCs w:val="24"/>
        </w:rPr>
        <w:t xml:space="preserve">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2.10. </w:t>
      </w:r>
      <w:proofErr w:type="gramStart"/>
      <w:r w:rsidRPr="008E176E">
        <w:rPr>
          <w:rFonts w:ascii="Times New Roman" w:eastAsia="Times New Roman" w:hAnsi="Times New Roman" w:cs="Times New Roman"/>
          <w:sz w:val="24"/>
          <w:szCs w:val="24"/>
        </w:rPr>
        <w:t>Закупки товаров, работ и услуг для обеспечения муниципальных нужд в целях реализации муниципальной программы проводятся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w:t>
      </w:r>
      <w:proofErr w:type="gramEnd"/>
      <w:r w:rsidRPr="008E176E">
        <w:rPr>
          <w:rFonts w:ascii="Times New Roman" w:eastAsia="Times New Roman" w:hAnsi="Times New Roman" w:cs="Times New Roman"/>
          <w:sz w:val="24"/>
          <w:szCs w:val="24"/>
        </w:rPr>
        <w:t xml:space="preserve"> осуществлению закупок и (или) оператора электронной </w:t>
      </w:r>
      <w:r w:rsidRPr="008E176E">
        <w:rPr>
          <w:rFonts w:ascii="Times New Roman" w:eastAsia="Times New Roman" w:hAnsi="Times New Roman" w:cs="Times New Roman"/>
          <w:sz w:val="24"/>
          <w:szCs w:val="24"/>
        </w:rPr>
        <w:lastRenderedPageBreak/>
        <w:t>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81C25"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81C25">
        <w:rPr>
          <w:rFonts w:ascii="Times New Roman" w:eastAsia="Times New Roman" w:hAnsi="Times New Roman" w:cs="Times New Roman"/>
          <w:sz w:val="24"/>
          <w:szCs w:val="24"/>
        </w:rPr>
        <w:t>3.1.4. Срок реализации подпрограммы: 2018-2024 годы»</w:t>
      </w:r>
      <w:r w:rsidR="00640621" w:rsidRPr="00F24975">
        <w:rPr>
          <w:rFonts w:ascii="Times New Roman" w:eastAsia="Times New Roman" w:hAnsi="Times New Roman" w:cs="Times New Roman"/>
          <w:sz w:val="24"/>
          <w:szCs w:val="24"/>
        </w:rPr>
        <w:t>.</w:t>
      </w:r>
    </w:p>
    <w:p w:rsidR="00C81C25" w:rsidRDefault="00C81C25"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81C25">
        <w:rPr>
          <w:rFonts w:ascii="Times New Roman" w:eastAsia="Times New Roman" w:hAnsi="Times New Roman" w:cs="Times New Roman"/>
          <w:sz w:val="24"/>
          <w:szCs w:val="24"/>
        </w:rPr>
        <w:lastRenderedPageBreak/>
        <w:t>3.1.5. Общий объем средств, направляемых на реализацию муниципальной подпрограммы, составляет 37196,19245 тыс. рублей, из них: 3645,64875 тыс. рублей за счет средств бюджета района,  32357,65847 тыс. рублей за счет средств федерального бюджета, 2011,06223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 xml:space="preserve">ок реализации подпрограммы: 2018– 2022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67"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28502,86013 тыс. рублей, из них: 1097,44843 тыс. рублей за счет средств бюджета района,  25603,24875 тыс. рублей за счет средств федерального бюджета, 1802,16295 тыс. рублей – за счет средств областного бюджета</w:t>
      </w:r>
      <w:r w:rsidR="00976474" w:rsidRPr="00976474">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lastRenderedPageBreak/>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F60353">
          <w:pgSz w:w="11906" w:h="16838"/>
          <w:pgMar w:top="1134" w:right="1134" w:bottom="851" w:left="1701" w:header="709" w:footer="709" w:gutter="0"/>
          <w:cols w:space="708"/>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DB5F81">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gramStart"/>
            <w:r w:rsidRPr="002A159B">
              <w:rPr>
                <w:rFonts w:ascii="Times New Roman" w:eastAsia="Times New Roman" w:hAnsi="Times New Roman" w:cs="Times New Roman"/>
                <w:sz w:val="24"/>
                <w:szCs w:val="24"/>
              </w:rPr>
              <w:t>п</w:t>
            </w:r>
            <w:proofErr w:type="gramEnd"/>
            <w:r w:rsidRPr="002A159B">
              <w:rPr>
                <w:rFonts w:ascii="Times New Roman" w:eastAsia="Times New Roman" w:hAnsi="Times New Roman" w:cs="Times New Roman"/>
                <w:sz w:val="24"/>
                <w:szCs w:val="24"/>
              </w:rPr>
              <w:t>/п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DB5F81">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DB5F81">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DB5F81">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10"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w:t>
      </w:r>
      <w:proofErr w:type="gramStart"/>
      <w:r w:rsidR="00640621" w:rsidRPr="00640621">
        <w:rPr>
          <w:rFonts w:ascii="Times New Roman" w:eastAsia="Times New Roman" w:hAnsi="Times New Roman" w:cs="Times New Roman"/>
          <w:sz w:val="24"/>
          <w:szCs w:val="24"/>
        </w:rPr>
        <w:t>ситуации</w:t>
      </w:r>
      <w:proofErr w:type="gramEnd"/>
      <w:r w:rsidR="00640621" w:rsidRPr="00640621">
        <w:rPr>
          <w:rFonts w:ascii="Times New Roman" w:eastAsia="Times New Roman" w:hAnsi="Times New Roman" w:cs="Times New Roman"/>
          <w:sz w:val="24"/>
          <w:szCs w:val="24"/>
        </w:rPr>
        <w:t xml:space="preserve">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proofErr w:type="spellStart"/>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финансирование</w:t>
      </w:r>
      <w:proofErr w:type="spellEnd"/>
      <w:r w:rsidR="00640621" w:rsidRPr="00640621">
        <w:rPr>
          <w:rFonts w:ascii="Times New Roman" w:eastAsia="Times New Roman" w:hAnsi="Times New Roman" w:cs="Times New Roman"/>
          <w:sz w:val="24"/>
          <w:szCs w:val="24"/>
        </w:rPr>
        <w:t xml:space="preserve">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EF6568" w:rsidP="00EF6568">
      <w:pPr>
        <w:widowControl w:val="0"/>
        <w:autoSpaceDE w:val="0"/>
        <w:autoSpaceDN w:val="0"/>
        <w:spacing w:after="0" w:line="240" w:lineRule="auto"/>
        <w:jc w:val="center"/>
        <w:rPr>
          <w:rFonts w:ascii="Times New Roman" w:hAnsi="Times New Roman" w:cs="Times New Roman"/>
          <w:sz w:val="24"/>
          <w:szCs w:val="24"/>
        </w:rPr>
      </w:pPr>
      <w:r w:rsidRPr="00EF6568">
        <w:rPr>
          <w:rFonts w:ascii="Times New Roman" w:hAnsi="Times New Roman" w:cs="Times New Roman"/>
          <w:sz w:val="24"/>
          <w:szCs w:val="24"/>
        </w:rPr>
        <w:t>Ранжированный перечень дворовых территорий, подлежащих благоустройству в рамках программы</w:t>
      </w:r>
    </w:p>
    <w:tbl>
      <w:tblPr>
        <w:tblW w:w="9191" w:type="dxa"/>
        <w:tblInd w:w="96" w:type="dxa"/>
        <w:tblLook w:val="04A0" w:firstRow="1" w:lastRow="0" w:firstColumn="1" w:lastColumn="0" w:noHBand="0" w:noVBand="1"/>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172FCE">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0" w:name="P1127"/>
      <w:bookmarkEnd w:id="0"/>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lastRenderedPageBreak/>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1"/>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lastRenderedPageBreak/>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2"/>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3"/>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4"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5"/>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w:t>
      </w:r>
      <w:r w:rsidRPr="0038144F">
        <w:rPr>
          <w:rFonts w:ascii="Times New Roman" w:hAnsi="Times New Roman" w:cs="Times New Roman"/>
          <w:sz w:val="24"/>
          <w:szCs w:val="24"/>
        </w:rPr>
        <w:lastRenderedPageBreak/>
        <w:t>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В случае</w:t>
      </w:r>
      <w:proofErr w:type="gramStart"/>
      <w:r w:rsidRPr="0038144F">
        <w:rPr>
          <w:rFonts w:ascii="Times New Roman" w:hAnsi="Times New Roman" w:cs="Times New Roman"/>
          <w:sz w:val="24"/>
          <w:szCs w:val="24"/>
        </w:rPr>
        <w:t>,</w:t>
      </w:r>
      <w:proofErr w:type="gramEnd"/>
      <w:r w:rsidRPr="0038144F">
        <w:rPr>
          <w:rFonts w:ascii="Times New Roman" w:hAnsi="Times New Roman" w:cs="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w:t>
      </w:r>
      <w:proofErr w:type="gramStart"/>
      <w:r w:rsidRPr="0038144F">
        <w:rPr>
          <w:rFonts w:ascii="Times New Roman" w:hAnsi="Times New Roman" w:cs="Times New Roman"/>
          <w:sz w:val="24"/>
          <w:szCs w:val="24"/>
        </w:rPr>
        <w:t>дств с п</w:t>
      </w:r>
      <w:proofErr w:type="gramEnd"/>
      <w:r w:rsidRPr="0038144F">
        <w:rPr>
          <w:rFonts w:ascii="Times New Roman" w:hAnsi="Times New Roman" w:cs="Times New Roman"/>
          <w:sz w:val="24"/>
          <w:szCs w:val="24"/>
        </w:rPr>
        <w:t>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12. Администрация соответствующего сельского поселения осуществляет учет поступающих от заинтересованных лиц денежных сре</w:t>
      </w:r>
      <w:proofErr w:type="gramStart"/>
      <w:r w:rsidRPr="0038144F">
        <w:rPr>
          <w:rFonts w:ascii="Times New Roman" w:hAnsi="Times New Roman" w:cs="Times New Roman"/>
          <w:sz w:val="24"/>
          <w:szCs w:val="24"/>
        </w:rPr>
        <w:t>дств в р</w:t>
      </w:r>
      <w:proofErr w:type="gramEnd"/>
      <w:r w:rsidRPr="0038144F">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w:t>
      </w:r>
      <w:proofErr w:type="gramStart"/>
      <w:r w:rsidRPr="0038144F">
        <w:rPr>
          <w:rFonts w:ascii="Times New Roman" w:hAnsi="Times New Roman" w:cs="Times New Roman"/>
          <w:sz w:val="24"/>
          <w:szCs w:val="24"/>
        </w:rPr>
        <w:t>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Ранжированный перечень общественных пространств,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случае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38144F">
        <w:rPr>
          <w:rFonts w:ascii="Times New Roman" w:hAnsi="Times New Roman" w:cs="Times New Roman"/>
          <w:sz w:val="24"/>
          <w:szCs w:val="24"/>
        </w:rPr>
        <w:t>дизайн-проекту</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lastRenderedPageBreak/>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в Александровском районе на 2018-2022 годы»</w:t>
      </w:r>
    </w:p>
    <w:p w:rsidR="00C81C25" w:rsidRDefault="00C81C25" w:rsidP="008E176E">
      <w:pPr>
        <w:widowControl w:val="0"/>
        <w:autoSpaceDE w:val="0"/>
        <w:autoSpaceDN w:val="0"/>
        <w:spacing w:after="0" w:line="240" w:lineRule="auto"/>
        <w:jc w:val="center"/>
        <w:rPr>
          <w:rFonts w:ascii="Times New Roman" w:hAnsi="Times New Roman" w:cs="Times New Roman"/>
          <w:sz w:val="24"/>
          <w:szCs w:val="24"/>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47"/>
        <w:gridCol w:w="1843"/>
        <w:gridCol w:w="1417"/>
        <w:gridCol w:w="1276"/>
        <w:gridCol w:w="1276"/>
        <w:gridCol w:w="1275"/>
        <w:gridCol w:w="1276"/>
        <w:gridCol w:w="1276"/>
        <w:gridCol w:w="1276"/>
        <w:gridCol w:w="708"/>
        <w:gridCol w:w="711"/>
      </w:tblGrid>
      <w:tr w:rsidR="00C81C25" w:rsidRPr="00C81C25" w:rsidTr="002038F4">
        <w:tc>
          <w:tcPr>
            <w:tcW w:w="913" w:type="dxa"/>
            <w:vMerge w:val="restart"/>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 xml:space="preserve">№№ </w:t>
            </w:r>
            <w:proofErr w:type="gramStart"/>
            <w:r w:rsidRPr="00C81C25">
              <w:rPr>
                <w:rFonts w:ascii="Times New Roman" w:eastAsia="Times New Roman" w:hAnsi="Times New Roman" w:cs="Times New Roman"/>
                <w:sz w:val="20"/>
                <w:szCs w:val="20"/>
                <w:lang w:eastAsia="zh-CN"/>
              </w:rPr>
              <w:t>п</w:t>
            </w:r>
            <w:proofErr w:type="gramEnd"/>
            <w:r w:rsidRPr="00C81C25">
              <w:rPr>
                <w:rFonts w:ascii="Times New Roman" w:eastAsia="Times New Roman" w:hAnsi="Times New Roman" w:cs="Times New Roman"/>
                <w:sz w:val="20"/>
                <w:szCs w:val="20"/>
                <w:lang w:eastAsia="zh-CN"/>
              </w:rPr>
              <w:t>/п</w:t>
            </w:r>
          </w:p>
        </w:tc>
        <w:tc>
          <w:tcPr>
            <w:tcW w:w="1747" w:type="dxa"/>
            <w:vMerge w:val="restart"/>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Наименование мероприятия</w:t>
            </w:r>
          </w:p>
        </w:tc>
        <w:tc>
          <w:tcPr>
            <w:tcW w:w="1843" w:type="dxa"/>
            <w:vMerge w:val="restart"/>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Исполнитель, главные распорядители</w:t>
            </w:r>
          </w:p>
        </w:tc>
        <w:tc>
          <w:tcPr>
            <w:tcW w:w="1417" w:type="dxa"/>
            <w:vMerge w:val="restart"/>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Источники финансирования</w:t>
            </w:r>
          </w:p>
        </w:tc>
        <w:tc>
          <w:tcPr>
            <w:tcW w:w="9074" w:type="dxa"/>
            <w:gridSpan w:val="8"/>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Объем финансирования, в том числе по годам, тыс. руб.</w:t>
            </w:r>
          </w:p>
        </w:tc>
      </w:tr>
      <w:tr w:rsidR="00C81C25" w:rsidRPr="00C81C25" w:rsidTr="002038F4">
        <w:tc>
          <w:tcPr>
            <w:tcW w:w="913" w:type="dxa"/>
            <w:vMerge/>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1747" w:type="dxa"/>
            <w:vMerge/>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1843" w:type="dxa"/>
            <w:vMerge/>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1417" w:type="dxa"/>
            <w:vMerge/>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1276" w:type="dxa"/>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Всего</w:t>
            </w:r>
          </w:p>
        </w:tc>
        <w:tc>
          <w:tcPr>
            <w:tcW w:w="1276"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2018</w:t>
            </w:r>
          </w:p>
        </w:tc>
        <w:tc>
          <w:tcPr>
            <w:tcW w:w="1275"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2019</w:t>
            </w:r>
          </w:p>
        </w:tc>
        <w:tc>
          <w:tcPr>
            <w:tcW w:w="1276"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2020</w:t>
            </w:r>
          </w:p>
        </w:tc>
        <w:tc>
          <w:tcPr>
            <w:tcW w:w="1276"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2021</w:t>
            </w:r>
          </w:p>
        </w:tc>
        <w:tc>
          <w:tcPr>
            <w:tcW w:w="1276"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2022</w:t>
            </w:r>
          </w:p>
        </w:tc>
        <w:tc>
          <w:tcPr>
            <w:tcW w:w="708"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2023</w:t>
            </w:r>
          </w:p>
        </w:tc>
        <w:tc>
          <w:tcPr>
            <w:tcW w:w="711" w:type="dxa"/>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2024</w:t>
            </w:r>
          </w:p>
        </w:tc>
      </w:tr>
      <w:tr w:rsidR="00C81C25" w:rsidRPr="00C81C25" w:rsidTr="002038F4">
        <w:trPr>
          <w:trHeight w:val="390"/>
        </w:trPr>
        <w:tc>
          <w:tcPr>
            <w:tcW w:w="913" w:type="dxa"/>
            <w:vMerge w:val="restart"/>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w:t>
            </w:r>
          </w:p>
        </w:tc>
        <w:tc>
          <w:tcPr>
            <w:tcW w:w="1747" w:type="dxa"/>
            <w:vMerge w:val="restart"/>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Благоустройство дворовых территорий</w:t>
            </w:r>
          </w:p>
        </w:tc>
        <w:tc>
          <w:tcPr>
            <w:tcW w:w="1843" w:type="dxa"/>
            <w:vMerge w:val="restart"/>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Администрация Александровского сельского поселения</w:t>
            </w: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 xml:space="preserve">Всего: в </w:t>
            </w:r>
            <w:proofErr w:type="spellStart"/>
            <w:r w:rsidRPr="00C81C25">
              <w:rPr>
                <w:rFonts w:ascii="Times New Roman" w:eastAsia="Times New Roman" w:hAnsi="Times New Roman" w:cs="Times New Roman"/>
                <w:sz w:val="20"/>
                <w:szCs w:val="20"/>
                <w:lang w:eastAsia="zh-CN"/>
              </w:rPr>
              <w:t>т.ч</w:t>
            </w:r>
            <w:proofErr w:type="spellEnd"/>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638,177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638,177</w:t>
            </w:r>
          </w:p>
        </w:tc>
        <w:tc>
          <w:tcPr>
            <w:tcW w:w="1275"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rPr>
          <w:trHeight w:val="360"/>
        </w:trPr>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Федеральный бюджет</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527,038</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527,038</w:t>
            </w:r>
          </w:p>
        </w:tc>
        <w:tc>
          <w:tcPr>
            <w:tcW w:w="1275"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rPr>
          <w:trHeight w:val="302"/>
        </w:trPr>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Областной бюджет</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107,948</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107,948</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rPr>
          <w:trHeight w:val="306"/>
        </w:trPr>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Бюджет района</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3,191</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3,191</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rPr>
          <w:trHeight w:val="375"/>
        </w:trPr>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Бюджет поселения</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c>
          <w:tcPr>
            <w:tcW w:w="913" w:type="dxa"/>
            <w:vMerge w:val="restart"/>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w:t>
            </w:r>
          </w:p>
        </w:tc>
        <w:tc>
          <w:tcPr>
            <w:tcW w:w="1747" w:type="dxa"/>
            <w:vMerge w:val="restart"/>
            <w:shd w:val="clear" w:color="auto" w:fill="FFFFFF"/>
          </w:tcPr>
          <w:p w:rsidR="00C81C25" w:rsidRPr="00C81C25" w:rsidRDefault="00C81C25" w:rsidP="00C81C25">
            <w:pPr>
              <w:widowControl w:val="0"/>
              <w:autoSpaceDE w:val="0"/>
              <w:autoSpaceDN w:val="0"/>
              <w:spacing w:after="0" w:line="240" w:lineRule="auto"/>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Благоустройство муниципальных территорий общего пользования</w:t>
            </w:r>
          </w:p>
        </w:tc>
        <w:tc>
          <w:tcPr>
            <w:tcW w:w="1843" w:type="dxa"/>
            <w:vMerge w:val="restart"/>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Администрация Александровского сельского поселения</w:t>
            </w: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 xml:space="preserve">Всего: в </w:t>
            </w:r>
            <w:proofErr w:type="spellStart"/>
            <w:r w:rsidRPr="00C81C25">
              <w:rPr>
                <w:rFonts w:ascii="Times New Roman" w:eastAsia="Times New Roman" w:hAnsi="Times New Roman" w:cs="Times New Roman"/>
                <w:sz w:val="20"/>
                <w:szCs w:val="20"/>
                <w:lang w:eastAsia="zh-CN"/>
              </w:rPr>
              <w:t>т.ч</w:t>
            </w:r>
            <w:proofErr w:type="spellEnd"/>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37196,19245</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6397,00</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4054,487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3197,191</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14120,01151</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9427,50294</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Федеральный бюджет</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31830,62047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5282,962</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3913,18850</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3052,77527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12738,82685</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6842,86785</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 xml:space="preserve">Областной бюджет </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1903,11423</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1082,053</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121,02607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94,41573</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393,98434</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211,63509</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Бюджет района</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3642,45775</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31,985</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20,27243</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50,00</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987,20032</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2373,0</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p>
        </w:tc>
      </w:tr>
      <w:tr w:rsidR="00C81C25" w:rsidRPr="00C81C25" w:rsidTr="002038F4">
        <w:trPr>
          <w:trHeight w:val="532"/>
        </w:trPr>
        <w:tc>
          <w:tcPr>
            <w:tcW w:w="91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843" w:type="dxa"/>
            <w:vMerge/>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Бюджет поселения</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r w:rsidR="00C81C25" w:rsidRPr="00C81C25" w:rsidTr="002038F4">
        <w:trPr>
          <w:trHeight w:val="199"/>
        </w:trPr>
        <w:tc>
          <w:tcPr>
            <w:tcW w:w="913"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74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843"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p>
        </w:tc>
        <w:tc>
          <w:tcPr>
            <w:tcW w:w="1417" w:type="dxa"/>
            <w:shd w:val="clear" w:color="auto" w:fill="FFFFFF"/>
          </w:tcPr>
          <w:p w:rsidR="00C81C25" w:rsidRPr="00C81C25" w:rsidRDefault="00C81C25" w:rsidP="00C81C25">
            <w:pPr>
              <w:widowControl w:val="0"/>
              <w:autoSpaceDE w:val="0"/>
              <w:autoSpaceDN w:val="0"/>
              <w:spacing w:after="0" w:line="240" w:lineRule="auto"/>
              <w:jc w:val="both"/>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Итого</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37196,19245</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7035,177</w:t>
            </w:r>
          </w:p>
        </w:tc>
        <w:tc>
          <w:tcPr>
            <w:tcW w:w="1275" w:type="dxa"/>
            <w:shd w:val="clear" w:color="auto" w:fill="auto"/>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4054,487</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3197,191</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14120,01151</w:t>
            </w:r>
          </w:p>
        </w:tc>
        <w:tc>
          <w:tcPr>
            <w:tcW w:w="1276"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9427,50294</w:t>
            </w:r>
          </w:p>
        </w:tc>
        <w:tc>
          <w:tcPr>
            <w:tcW w:w="708"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c>
          <w:tcPr>
            <w:tcW w:w="711" w:type="dxa"/>
            <w:shd w:val="clear" w:color="auto" w:fill="FFFFFF"/>
          </w:tcPr>
          <w:p w:rsidR="00C81C25" w:rsidRPr="00C81C25" w:rsidRDefault="00C81C25" w:rsidP="00C81C25">
            <w:pPr>
              <w:widowControl w:val="0"/>
              <w:autoSpaceDE w:val="0"/>
              <w:autoSpaceDN w:val="0"/>
              <w:spacing w:after="0" w:line="240" w:lineRule="auto"/>
              <w:jc w:val="center"/>
              <w:rPr>
                <w:rFonts w:ascii="Times New Roman" w:eastAsia="Times New Roman" w:hAnsi="Times New Roman" w:cs="Times New Roman"/>
                <w:sz w:val="20"/>
                <w:szCs w:val="20"/>
                <w:lang w:eastAsia="zh-CN"/>
              </w:rPr>
            </w:pPr>
            <w:r w:rsidRPr="00C81C25">
              <w:rPr>
                <w:rFonts w:ascii="Times New Roman" w:eastAsia="Times New Roman" w:hAnsi="Times New Roman" w:cs="Times New Roman"/>
                <w:sz w:val="20"/>
                <w:szCs w:val="20"/>
                <w:lang w:eastAsia="zh-CN"/>
              </w:rPr>
              <w:t>-</w:t>
            </w:r>
          </w:p>
        </w:tc>
      </w:tr>
    </w:tbl>
    <w:p w:rsidR="00C81C25" w:rsidRDefault="00C81C25" w:rsidP="008E176E">
      <w:pPr>
        <w:widowControl w:val="0"/>
        <w:autoSpaceDE w:val="0"/>
        <w:autoSpaceDN w:val="0"/>
        <w:spacing w:after="0" w:line="240" w:lineRule="auto"/>
        <w:jc w:val="center"/>
        <w:rPr>
          <w:rFonts w:ascii="Times New Roman" w:hAnsi="Times New Roman" w:cs="Times New Roman"/>
          <w:sz w:val="24"/>
          <w:szCs w:val="24"/>
        </w:rPr>
      </w:pPr>
    </w:p>
    <w:p w:rsidR="00C81C25" w:rsidRDefault="00C81C25" w:rsidP="008E176E">
      <w:pPr>
        <w:widowControl w:val="0"/>
        <w:autoSpaceDE w:val="0"/>
        <w:autoSpaceDN w:val="0"/>
        <w:spacing w:after="0" w:line="240" w:lineRule="auto"/>
        <w:jc w:val="center"/>
        <w:rPr>
          <w:rFonts w:ascii="Times New Roman" w:hAnsi="Times New Roman" w:cs="Times New Roman"/>
          <w:sz w:val="24"/>
          <w:szCs w:val="24"/>
        </w:rPr>
      </w:pPr>
    </w:p>
    <w:p w:rsidR="008E176E" w:rsidRDefault="008E176E" w:rsidP="008E176E">
      <w:pPr>
        <w:ind w:firstLine="540"/>
        <w:jc w:val="both"/>
        <w:rPr>
          <w:rFonts w:ascii="Times New Roman" w:hAnsi="Times New Roman" w:cs="Times New Roman"/>
          <w:sz w:val="20"/>
          <w:szCs w:val="20"/>
        </w:rPr>
      </w:pPr>
    </w:p>
    <w:p w:rsidR="00C81C25" w:rsidRPr="008E176E" w:rsidRDefault="00C81C25" w:rsidP="008E176E">
      <w:pPr>
        <w:ind w:firstLine="540"/>
        <w:jc w:val="both"/>
        <w:rPr>
          <w:rFonts w:ascii="Times New Roman" w:hAnsi="Times New Roman" w:cs="Times New Roman"/>
          <w:sz w:val="20"/>
          <w:szCs w:val="20"/>
        </w:rPr>
      </w:pPr>
      <w:bookmarkStart w:id="1" w:name="_GoBack"/>
      <w:bookmarkEnd w:id="1"/>
    </w:p>
    <w:p w:rsid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lastRenderedPageBreak/>
        <w:t xml:space="preserve">Приложение 8 </w:t>
      </w:r>
      <w:proofErr w:type="gramStart"/>
      <w:r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E176E" w:rsidRPr="008E176E" w:rsidTr="00DB5F81">
        <w:trPr>
          <w:trHeight w:val="531"/>
        </w:trPr>
        <w:tc>
          <w:tcPr>
            <w:tcW w:w="486"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gramStart"/>
            <w:r w:rsidRPr="008E176E">
              <w:rPr>
                <w:rFonts w:ascii="Times New Roman" w:hAnsi="Times New Roman" w:cs="Times New Roman"/>
                <w:sz w:val="20"/>
              </w:rPr>
              <w:t>п</w:t>
            </w:r>
            <w:proofErr w:type="gramEnd"/>
            <w:r w:rsidRPr="008E176E">
              <w:rPr>
                <w:rFonts w:ascii="Times New Roman" w:hAnsi="Times New Roman" w:cs="Times New Roman"/>
                <w:sz w:val="20"/>
              </w:rPr>
              <w:t>/п</w:t>
            </w:r>
          </w:p>
        </w:tc>
        <w:tc>
          <w:tcPr>
            <w:tcW w:w="6143" w:type="dxa"/>
            <w:gridSpan w:val="4"/>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w:t>
            </w:r>
            <w:proofErr w:type="spellEnd"/>
            <w:r w:rsidRPr="008E176E">
              <w:rPr>
                <w:rFonts w:ascii="Times New Roman" w:hAnsi="Times New Roman" w:cs="Times New Roman"/>
                <w:sz w:val="20"/>
              </w:rPr>
              <w:t>-кого</w:t>
            </w:r>
            <w:proofErr w:type="gramEnd"/>
            <w:r w:rsidRPr="008E176E">
              <w:rPr>
                <w:rFonts w:ascii="Times New Roman" w:hAnsi="Times New Roman" w:cs="Times New Roman"/>
                <w:sz w:val="20"/>
              </w:rPr>
              <w:t xml:space="preserve"> лица, ИП</w:t>
            </w:r>
          </w:p>
        </w:tc>
      </w:tr>
      <w:tr w:rsidR="008E176E" w:rsidRPr="008E176E" w:rsidTr="00DB5F81">
        <w:trPr>
          <w:trHeight w:val="2287"/>
        </w:trPr>
        <w:tc>
          <w:tcPr>
            <w:tcW w:w="486" w:type="dxa"/>
            <w:vMerge/>
          </w:tcPr>
          <w:p w:rsidR="008E176E" w:rsidRPr="008E176E" w:rsidRDefault="008E176E" w:rsidP="00DB5F81">
            <w:pPr>
              <w:pStyle w:val="ConsPlusNormal"/>
              <w:rPr>
                <w:rFonts w:ascii="Times New Roman" w:hAnsi="Times New Roman" w:cs="Times New Roman"/>
                <w:sz w:val="20"/>
              </w:rPr>
            </w:pPr>
          </w:p>
        </w:tc>
        <w:tc>
          <w:tcPr>
            <w:tcW w:w="1607" w:type="dxa"/>
            <w:vAlign w:val="center"/>
          </w:tcPr>
          <w:p w:rsidR="008E176E" w:rsidRPr="008E176E" w:rsidRDefault="008E176E" w:rsidP="00DB5F81">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DB5F81">
            <w:pPr>
              <w:pStyle w:val="ConsPlusNormal"/>
              <w:rPr>
                <w:rFonts w:ascii="Times New Roman" w:hAnsi="Times New Roman" w:cs="Times New Roman"/>
                <w:sz w:val="20"/>
              </w:rPr>
            </w:pPr>
          </w:p>
        </w:tc>
        <w:tc>
          <w:tcPr>
            <w:tcW w:w="1275"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r>
      <w:tr w:rsidR="008E176E" w:rsidRPr="008E176E" w:rsidTr="00DB5F81">
        <w:trPr>
          <w:trHeight w:val="326"/>
        </w:trPr>
        <w:tc>
          <w:tcPr>
            <w:tcW w:w="48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пер. Юбилейный, 6</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 xml:space="preserve">МО «Александровский район, </w:t>
            </w:r>
            <w:r w:rsidRPr="008E176E">
              <w:rPr>
                <w:rFonts w:ascii="Times New Roman" w:hAnsi="Times New Roman" w:cs="Times New Roman"/>
                <w:sz w:val="20"/>
                <w:szCs w:val="20"/>
              </w:rPr>
              <w:lastRenderedPageBreak/>
              <w:t>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636763, Томская область, Александровск</w:t>
            </w:r>
            <w:r w:rsidRPr="008E176E">
              <w:rPr>
                <w:rFonts w:ascii="Times New Roman" w:hAnsi="Times New Roman" w:cs="Times New Roman"/>
                <w:sz w:val="20"/>
              </w:rPr>
              <w:lastRenderedPageBreak/>
              <w:t>ий район, с. Александровское, ул. Калинина, 17</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Магазин «</w:t>
            </w:r>
            <w:proofErr w:type="gramStart"/>
            <w:r w:rsidRPr="008E176E">
              <w:rPr>
                <w:rFonts w:ascii="Times New Roman" w:hAnsi="Times New Roman" w:cs="Times New Roman"/>
                <w:sz w:val="20"/>
              </w:rPr>
              <w:t>Лидия-Бытовая</w:t>
            </w:r>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3</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DB5F81">
      <w:pgSz w:w="16838" w:h="11906" w:orient="landscape"/>
      <w:pgMar w:top="1616"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D8" w:rsidRDefault="00982DD8" w:rsidP="008A1A67">
      <w:pPr>
        <w:spacing w:after="0" w:line="240" w:lineRule="auto"/>
      </w:pPr>
      <w:r>
        <w:separator/>
      </w:r>
    </w:p>
  </w:endnote>
  <w:endnote w:type="continuationSeparator" w:id="0">
    <w:p w:rsidR="00982DD8" w:rsidRDefault="00982DD8" w:rsidP="008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D8" w:rsidRDefault="00982DD8" w:rsidP="008A1A67">
      <w:pPr>
        <w:spacing w:after="0" w:line="240" w:lineRule="auto"/>
      </w:pPr>
      <w:r>
        <w:separator/>
      </w:r>
    </w:p>
  </w:footnote>
  <w:footnote w:type="continuationSeparator" w:id="0">
    <w:p w:rsidR="00982DD8" w:rsidRDefault="00982DD8" w:rsidP="008A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0D4BFB"/>
    <w:rsid w:val="001067E5"/>
    <w:rsid w:val="00133E7C"/>
    <w:rsid w:val="00136DD2"/>
    <w:rsid w:val="0015089D"/>
    <w:rsid w:val="001528BA"/>
    <w:rsid w:val="00172FCE"/>
    <w:rsid w:val="001A1548"/>
    <w:rsid w:val="001D6266"/>
    <w:rsid w:val="001E11C9"/>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17188"/>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34C5"/>
    <w:rsid w:val="005E7C81"/>
    <w:rsid w:val="005F26D2"/>
    <w:rsid w:val="005F3B2D"/>
    <w:rsid w:val="00603845"/>
    <w:rsid w:val="00603BEA"/>
    <w:rsid w:val="0061139B"/>
    <w:rsid w:val="00633072"/>
    <w:rsid w:val="00640621"/>
    <w:rsid w:val="00647A51"/>
    <w:rsid w:val="00661CFA"/>
    <w:rsid w:val="00662356"/>
    <w:rsid w:val="006715E7"/>
    <w:rsid w:val="00672CBA"/>
    <w:rsid w:val="00673540"/>
    <w:rsid w:val="00677D14"/>
    <w:rsid w:val="006B3568"/>
    <w:rsid w:val="006B58A6"/>
    <w:rsid w:val="006C3585"/>
    <w:rsid w:val="006D115B"/>
    <w:rsid w:val="00707383"/>
    <w:rsid w:val="0071236D"/>
    <w:rsid w:val="00712EAF"/>
    <w:rsid w:val="00722EEC"/>
    <w:rsid w:val="00723F4E"/>
    <w:rsid w:val="00730642"/>
    <w:rsid w:val="00746403"/>
    <w:rsid w:val="00753587"/>
    <w:rsid w:val="007866C8"/>
    <w:rsid w:val="007A4D9D"/>
    <w:rsid w:val="007B1715"/>
    <w:rsid w:val="007B4D7E"/>
    <w:rsid w:val="007C4D96"/>
    <w:rsid w:val="007D32B1"/>
    <w:rsid w:val="007D5818"/>
    <w:rsid w:val="007D6989"/>
    <w:rsid w:val="00806310"/>
    <w:rsid w:val="00811F89"/>
    <w:rsid w:val="00827A86"/>
    <w:rsid w:val="00827F91"/>
    <w:rsid w:val="008413FA"/>
    <w:rsid w:val="00857D8A"/>
    <w:rsid w:val="00870E48"/>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82DD8"/>
    <w:rsid w:val="009922E7"/>
    <w:rsid w:val="009A2C18"/>
    <w:rsid w:val="009A49F7"/>
    <w:rsid w:val="009B538B"/>
    <w:rsid w:val="009C425A"/>
    <w:rsid w:val="009C50F1"/>
    <w:rsid w:val="00A279ED"/>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1C25"/>
    <w:rsid w:val="00C84B67"/>
    <w:rsid w:val="00C96C50"/>
    <w:rsid w:val="00CC6810"/>
    <w:rsid w:val="00CD11AC"/>
    <w:rsid w:val="00D0245E"/>
    <w:rsid w:val="00D17B73"/>
    <w:rsid w:val="00D22BE7"/>
    <w:rsid w:val="00D44326"/>
    <w:rsid w:val="00D522A0"/>
    <w:rsid w:val="00D65314"/>
    <w:rsid w:val="00D75A00"/>
    <w:rsid w:val="00D77030"/>
    <w:rsid w:val="00DA247F"/>
    <w:rsid w:val="00DB24D1"/>
    <w:rsid w:val="00DB5F81"/>
    <w:rsid w:val="00DD5B5C"/>
    <w:rsid w:val="00DD7088"/>
    <w:rsid w:val="00DF598D"/>
    <w:rsid w:val="00E045E0"/>
    <w:rsid w:val="00E0497B"/>
    <w:rsid w:val="00E175D6"/>
    <w:rsid w:val="00E62DC4"/>
    <w:rsid w:val="00E864C8"/>
    <w:rsid w:val="00E92A67"/>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consultantplus://offline/ref=58E40AB2B90CB1FE7838C51973A3512A310CBD8EB0CE5E51804820BA46L7B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A060-8AB1-4E98-92ED-B8990378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8753</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Алёна Лу</cp:lastModifiedBy>
  <cp:revision>3</cp:revision>
  <cp:lastPrinted>2020-04-02T06:56:00Z</cp:lastPrinted>
  <dcterms:created xsi:type="dcterms:W3CDTF">2022-04-06T07:17:00Z</dcterms:created>
  <dcterms:modified xsi:type="dcterms:W3CDTF">2022-04-06T07:19:00Z</dcterms:modified>
</cp:coreProperties>
</file>