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FC44" w14:textId="57A00335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9045F3">
        <w:rPr>
          <w:b/>
        </w:rPr>
        <w:t>12</w:t>
      </w:r>
    </w:p>
    <w:p w14:paraId="39AFDEEA" w14:textId="77777777" w:rsidR="009045F3" w:rsidRPr="009045F3" w:rsidRDefault="009045F3" w:rsidP="009045F3">
      <w:pPr>
        <w:spacing w:line="276" w:lineRule="auto"/>
        <w:ind w:right="-2"/>
        <w:jc w:val="center"/>
        <w:rPr>
          <w:b/>
        </w:rPr>
      </w:pPr>
      <w:bookmarkStart w:id="0" w:name="_Hlk129859123"/>
      <w:r w:rsidRPr="009045F3">
        <w:rPr>
          <w:b/>
        </w:rPr>
        <w:t xml:space="preserve">по результатам внешней проверки достоверности бюджетной отчетности главного распорядителя бюджетных средств - Администрация Александровского района </w:t>
      </w:r>
    </w:p>
    <w:p w14:paraId="35CF16A0" w14:textId="5A3BBE4C" w:rsidR="005A55AA" w:rsidRDefault="009045F3" w:rsidP="009045F3">
      <w:pPr>
        <w:spacing w:line="276" w:lineRule="auto"/>
        <w:ind w:right="-2"/>
        <w:jc w:val="center"/>
        <w:rPr>
          <w:b/>
        </w:rPr>
      </w:pPr>
      <w:r w:rsidRPr="009045F3">
        <w:rPr>
          <w:b/>
        </w:rPr>
        <w:t>за 2022 год</w:t>
      </w:r>
    </w:p>
    <w:bookmarkEnd w:id="0"/>
    <w:p w14:paraId="4100605F" w14:textId="77777777" w:rsidR="009045F3" w:rsidRPr="009F4644" w:rsidRDefault="009045F3" w:rsidP="009045F3">
      <w:pPr>
        <w:spacing w:line="276" w:lineRule="auto"/>
        <w:ind w:right="-2"/>
        <w:jc w:val="center"/>
      </w:pPr>
    </w:p>
    <w:p w14:paraId="50A8B315" w14:textId="3B136104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Pr="00531C86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531C86">
        <w:t>.</w:t>
      </w:r>
      <w:r>
        <w:t>1</w:t>
      </w:r>
      <w:r w:rsidRPr="002B3811">
        <w:t>.</w:t>
      </w:r>
      <w:r w:rsidR="009045F3">
        <w:t>1</w:t>
      </w:r>
      <w:r>
        <w:t>.</w:t>
      </w:r>
      <w:r w:rsidRPr="00531C86">
        <w:t xml:space="preserve"> </w:t>
      </w:r>
      <w:r w:rsidR="00520266" w:rsidRPr="00520266">
        <w:t xml:space="preserve">Плана работы Контрольно-ревизионной комиссии Александровского района на 2023 год, утвержденного приказом Контрольно-ревизионной комиссии Александровского района от 26.12.2022 ¬ №17, распоряжение Контрольно-ревизионной комиссии Александровского  района о проведении контрольного мероприятия от </w:t>
      </w:r>
      <w:r w:rsidR="005A55AA">
        <w:t>08</w:t>
      </w:r>
      <w:r w:rsidR="00520266" w:rsidRPr="00520266">
        <w:t>.0</w:t>
      </w:r>
      <w:r w:rsidR="005A55AA">
        <w:t>2</w:t>
      </w:r>
      <w:r w:rsidR="00520266" w:rsidRPr="00520266">
        <w:t xml:space="preserve">.2023 № </w:t>
      </w:r>
      <w:r w:rsidR="005A55AA">
        <w:t>1</w:t>
      </w:r>
      <w:r w:rsidR="009045F3">
        <w:t>2</w:t>
      </w:r>
      <w:r w:rsidR="00520266" w:rsidRPr="00520266">
        <w:t>.</w:t>
      </w:r>
    </w:p>
    <w:p w14:paraId="6FF0E987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/>
        </w:rPr>
        <w:t xml:space="preserve">Предмет контрольного мероприятия: </w:t>
      </w:r>
      <w:r w:rsidRPr="009045F3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083BC4AD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Объект контрольного мероприятия:</w:t>
      </w:r>
      <w:r w:rsidRPr="009045F3">
        <w:rPr>
          <w:bCs/>
        </w:rPr>
        <w:t xml:space="preserve"> </w:t>
      </w:r>
      <w:bookmarkStart w:id="1" w:name="_Hlk36645551"/>
      <w:r w:rsidRPr="009045F3">
        <w:rPr>
          <w:bCs/>
        </w:rPr>
        <w:t xml:space="preserve">Администрация Александровского района </w:t>
      </w:r>
      <w:bookmarkEnd w:id="1"/>
      <w:r w:rsidRPr="009045F3">
        <w:rPr>
          <w:bCs/>
        </w:rPr>
        <w:t>Томской области.</w:t>
      </w:r>
    </w:p>
    <w:p w14:paraId="77F4D239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 xml:space="preserve">Проверяемый период: </w:t>
      </w:r>
      <w:r w:rsidRPr="009045F3">
        <w:rPr>
          <w:bCs/>
        </w:rPr>
        <w:t>01.01.2022 по 31.12.2022 г.</w:t>
      </w:r>
    </w:p>
    <w:p w14:paraId="0631C973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Цели контрольного мероприятия:</w:t>
      </w:r>
    </w:p>
    <w:p w14:paraId="3F09F441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7BEC3348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2F7850E9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1.2. Проверка своевременности предоставления бюджетной отчетности.</w:t>
      </w:r>
    </w:p>
    <w:p w14:paraId="35C4C8F2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Цель 2</w:t>
      </w:r>
      <w:r w:rsidRPr="009045F3">
        <w:rPr>
          <w:b/>
          <w:i/>
        </w:rPr>
        <w:t xml:space="preserve">. </w:t>
      </w:r>
      <w:r w:rsidRPr="009045F3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595DBEA2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7C673B11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2.2. Проверка соответствия плановых показателей, указанных в бюджетной отчетности ГРБС, на отчетный финансовый год.</w:t>
      </w:r>
    </w:p>
    <w:p w14:paraId="1F5202CC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28421D42" w14:textId="77777777" w:rsidR="009045F3" w:rsidRPr="009045F3" w:rsidRDefault="009045F3" w:rsidP="009045F3">
      <w:pPr>
        <w:ind w:right="-142" w:firstLine="851"/>
        <w:jc w:val="both"/>
        <w:rPr>
          <w:b/>
        </w:rPr>
      </w:pPr>
      <w:r w:rsidRPr="009045F3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0B693BF4" w14:textId="77777777" w:rsidR="009045F3" w:rsidRPr="009045F3" w:rsidRDefault="009045F3" w:rsidP="009045F3">
      <w:pPr>
        <w:ind w:right="-142" w:firstLine="851"/>
        <w:jc w:val="both"/>
        <w:rPr>
          <w:bCs/>
        </w:rPr>
      </w:pPr>
      <w:r w:rsidRPr="009045F3">
        <w:rPr>
          <w:bCs/>
        </w:rPr>
        <w:t>3.1. Анализ дебиторской и кредиторской задолженности на начало и конец отчетного периода, причин и сроков её возникновения.</w:t>
      </w:r>
    </w:p>
    <w:p w14:paraId="5F2DC459" w14:textId="77777777" w:rsidR="009045F3" w:rsidRPr="009045F3" w:rsidRDefault="009045F3" w:rsidP="009045F3">
      <w:pPr>
        <w:ind w:firstLine="851"/>
        <w:contextualSpacing/>
        <w:jc w:val="both"/>
      </w:pPr>
      <w:r w:rsidRPr="009045F3">
        <w:rPr>
          <w:b/>
          <w:i/>
          <w:sz w:val="28"/>
          <w:szCs w:val="28"/>
          <w:u w:val="single"/>
        </w:rPr>
        <w:t>Объект проверки</w:t>
      </w:r>
      <w:r w:rsidRPr="009045F3">
        <w:rPr>
          <w:b/>
          <w:sz w:val="28"/>
          <w:szCs w:val="28"/>
          <w:u w:val="single"/>
        </w:rPr>
        <w:t>:</w:t>
      </w:r>
      <w:r w:rsidRPr="009045F3">
        <w:rPr>
          <w:sz w:val="28"/>
          <w:szCs w:val="28"/>
        </w:rPr>
        <w:t xml:space="preserve"> </w:t>
      </w:r>
      <w:r w:rsidRPr="009045F3">
        <w:t>главный распорядитель бюджетных средств –</w:t>
      </w:r>
      <w:r w:rsidRPr="009045F3">
        <w:rPr>
          <w:bCs/>
        </w:rPr>
        <w:t>Администрация Александровского района</w:t>
      </w:r>
      <w:r w:rsidRPr="009045F3">
        <w:t xml:space="preserve"> Томской области (далее - ГРБС).</w:t>
      </w:r>
    </w:p>
    <w:p w14:paraId="79D279D2" w14:textId="7777777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9045F3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Предмет внешней проверки:</w:t>
      </w:r>
      <w:r w:rsidRPr="009045F3">
        <w:rPr>
          <w:rFonts w:eastAsia="Calibri"/>
          <w:b/>
          <w:bCs/>
          <w:lang w:eastAsia="en-US"/>
        </w:rPr>
        <w:t xml:space="preserve"> </w:t>
      </w:r>
      <w:r w:rsidRPr="009045F3">
        <w:t>годовая отчетность за 2022 год, представленная главным распорядителем бюджетных средств местного бюджета –</w:t>
      </w:r>
      <w:r w:rsidRPr="009045F3">
        <w:rPr>
          <w:bCs/>
        </w:rPr>
        <w:t>Администрации Александровского района</w:t>
      </w:r>
      <w:r w:rsidRPr="009045F3">
        <w:t>.</w:t>
      </w:r>
    </w:p>
    <w:p w14:paraId="1A987849" w14:textId="7777777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  <w:r w:rsidRPr="009045F3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Проверяемый период - 2022 год.</w:t>
      </w:r>
    </w:p>
    <w:p w14:paraId="664B39E5" w14:textId="77777777" w:rsidR="009045F3" w:rsidRPr="009045F3" w:rsidRDefault="009045F3" w:rsidP="009045F3">
      <w:pPr>
        <w:ind w:firstLine="851"/>
        <w:jc w:val="both"/>
      </w:pPr>
      <w:r w:rsidRPr="009045F3">
        <w:rPr>
          <w:b/>
          <w:i/>
          <w:sz w:val="28"/>
          <w:szCs w:val="28"/>
          <w:u w:val="single"/>
        </w:rPr>
        <w:t>Исполнители:</w:t>
      </w:r>
      <w:r w:rsidRPr="009045F3">
        <w:rPr>
          <w:sz w:val="28"/>
          <w:szCs w:val="28"/>
        </w:rPr>
        <w:t> </w:t>
      </w:r>
      <w:r w:rsidRPr="009045F3">
        <w:t>председатель контрольно- ревизионной комиссии Александровского района Дорохова Людмила Викторовна.</w:t>
      </w:r>
    </w:p>
    <w:p w14:paraId="6EF8FAED" w14:textId="7777777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eastAsia="Calibri"/>
          <w:lang w:eastAsia="en-US"/>
        </w:rPr>
      </w:pPr>
      <w:r w:rsidRPr="009045F3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9045F3">
        <w:rPr>
          <w:rFonts w:eastAsia="Calibri"/>
          <w:bCs/>
          <w:i/>
          <w:iCs/>
          <w:sz w:val="28"/>
          <w:szCs w:val="28"/>
          <w:lang w:eastAsia="en-US"/>
        </w:rPr>
        <w:t>:</w:t>
      </w:r>
      <w:r w:rsidRPr="009045F3">
        <w:rPr>
          <w:rFonts w:eastAsia="Calibri"/>
          <w:bCs/>
          <w:lang w:eastAsia="en-US"/>
        </w:rPr>
        <w:t xml:space="preserve"> </w:t>
      </w:r>
      <w:r w:rsidRPr="009045F3">
        <w:rPr>
          <w:rFonts w:eastAsia="Calibri"/>
          <w:lang w:eastAsia="en-US"/>
        </w:rPr>
        <w:t>с 13.02.2023 г. по 06.03.2023 г.</w:t>
      </w:r>
    </w:p>
    <w:p w14:paraId="60BF5626" w14:textId="77777777" w:rsidR="009045F3" w:rsidRPr="009045F3" w:rsidRDefault="009045F3" w:rsidP="009045F3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9045F3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2758D9FB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t>Бюджетный кодекс Российской Федерации;</w:t>
      </w:r>
    </w:p>
    <w:p w14:paraId="16AF346C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t>Федеральный закон от 06.12.2011 № 402-ФЗ «О бухгалтерском учете»;</w:t>
      </w:r>
    </w:p>
    <w:p w14:paraId="5A7ADC96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lastRenderedPageBreak/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г. № 191н (с изменениями, далее – Инструкция 191н);</w:t>
      </w:r>
    </w:p>
    <w:p w14:paraId="366D6007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t>Решение Думы Александровского района от 24.12.2021 №089 «О бюджете МО «Александровский район» на 2022 год и плановый период 2023 и 2024 годов» (с изменениями);</w:t>
      </w:r>
    </w:p>
    <w:p w14:paraId="1D09B7D9" w14:textId="77777777" w:rsidR="009045F3" w:rsidRPr="009045F3" w:rsidRDefault="009045F3" w:rsidP="009045F3">
      <w:pPr>
        <w:numPr>
          <w:ilvl w:val="0"/>
          <w:numId w:val="10"/>
        </w:numPr>
        <w:ind w:left="0" w:firstLine="0"/>
        <w:contextualSpacing/>
        <w:jc w:val="both"/>
        <w:rPr>
          <w:bCs/>
          <w:iCs/>
        </w:rPr>
      </w:pPr>
      <w:r w:rsidRPr="009045F3">
        <w:rPr>
          <w:bCs/>
          <w:iCs/>
        </w:rPr>
        <w:t>Сводная бюджетная роспись МО «Александровский район», утвержденная приказом Финансового отдела Администрации Александровского района от 30.12.2022 № 77-п (с изменениями).</w:t>
      </w:r>
    </w:p>
    <w:p w14:paraId="18DEC85E" w14:textId="77777777" w:rsidR="009045F3" w:rsidRPr="009045F3" w:rsidRDefault="009045F3" w:rsidP="009045F3">
      <w:pPr>
        <w:ind w:firstLine="851"/>
        <w:contextualSpacing/>
        <w:jc w:val="both"/>
      </w:pPr>
      <w:r w:rsidRPr="009045F3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 w:rsidRPr="009045F3">
        <w:rPr>
          <w:sz w:val="28"/>
          <w:szCs w:val="28"/>
        </w:rPr>
        <w:t xml:space="preserve"> </w:t>
      </w:r>
      <w:r w:rsidRPr="009045F3">
        <w:t>препятствий в проведении проверки отмечено не было.</w:t>
      </w:r>
    </w:p>
    <w:p w14:paraId="35B96B08" w14:textId="7777777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lang w:eastAsia="en-US"/>
        </w:rPr>
      </w:pPr>
    </w:p>
    <w:p w14:paraId="254BE42E" w14:textId="77777777" w:rsidR="009045F3" w:rsidRPr="009045F3" w:rsidRDefault="009045F3" w:rsidP="009045F3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="Calibri" w:hAnsi="Times New Roman,Bold" w:cs="Times New Roman,Bold"/>
          <w:b/>
          <w:lang w:eastAsia="en-US"/>
        </w:rPr>
      </w:pPr>
      <w:r w:rsidRPr="009045F3">
        <w:rPr>
          <w:rFonts w:eastAsia="Calibr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9045F3">
        <w:rPr>
          <w:rFonts w:ascii="Times New Roman,Bold" w:eastAsia="Calibri" w:hAnsi="Times New Roman,Bold" w:cs="Times New Roman,Bold"/>
          <w:b/>
          <w:lang w:eastAsia="en-US"/>
        </w:rPr>
        <w:t>:</w:t>
      </w:r>
    </w:p>
    <w:p w14:paraId="6B7D7D1E" w14:textId="77777777" w:rsidR="009045F3" w:rsidRPr="009045F3" w:rsidRDefault="009045F3" w:rsidP="009045F3">
      <w:pPr>
        <w:numPr>
          <w:ilvl w:val="0"/>
          <w:numId w:val="11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9045F3">
        <w:rPr>
          <w:rFonts w:eastAsia="Calibri"/>
          <w:lang w:eastAsia="en-US"/>
        </w:rPr>
        <w:t xml:space="preserve">Глава </w:t>
      </w:r>
      <w:r w:rsidRPr="009045F3">
        <w:rPr>
          <w:rFonts w:eastAsia="Calibri"/>
          <w:bCs/>
          <w:lang w:eastAsia="en-US"/>
        </w:rPr>
        <w:t>Администрации Александровского района</w:t>
      </w:r>
      <w:r w:rsidRPr="009045F3">
        <w:rPr>
          <w:rFonts w:eastAsia="Calibri"/>
          <w:lang w:eastAsia="en-US"/>
        </w:rPr>
        <w:t>;</w:t>
      </w:r>
    </w:p>
    <w:p w14:paraId="4835E1E2" w14:textId="77777777" w:rsidR="009045F3" w:rsidRPr="009045F3" w:rsidRDefault="009045F3" w:rsidP="009045F3">
      <w:pPr>
        <w:numPr>
          <w:ilvl w:val="0"/>
          <w:numId w:val="11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9045F3">
        <w:rPr>
          <w:rFonts w:eastAsia="Calibri"/>
          <w:lang w:eastAsia="en-US"/>
        </w:rPr>
        <w:t xml:space="preserve">Начальник бухгалтерии - главный бухгалтер Администрации Александровского района. </w:t>
      </w:r>
    </w:p>
    <w:p w14:paraId="24446D82" w14:textId="39F10F9E" w:rsidR="005A55AA" w:rsidRDefault="005A55AA" w:rsidP="005A55AA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677D4A76" w14:textId="77777777" w:rsidR="009045F3" w:rsidRPr="009045F3" w:rsidRDefault="009045F3" w:rsidP="009045F3">
      <w:pPr>
        <w:ind w:firstLine="851"/>
        <w:contextualSpacing/>
        <w:jc w:val="both"/>
        <w:rPr>
          <w:bCs/>
        </w:rPr>
      </w:pPr>
      <w:r w:rsidRPr="009045F3">
        <w:rPr>
          <w:bCs/>
        </w:rPr>
        <w:t>Полное наименование объекта проверки: Администрация Александровского района ИНН/КПП 7001000133/702201001, ОГРН 1027001622075, ОКПО 02377890, ОКОПФ 75404, ОКФС 14. Лицевой счет № 20000К0002 открыт в Финансовом отделе Администрации Александровского района Томской области. Юридический и почтовый адрес: 636760, Томская область, Александровский район, с. Александровское, ул. Ленина, д.8.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134627CF" w14:textId="77777777" w:rsidR="004847F7" w:rsidRPr="004847F7" w:rsidRDefault="004847F7" w:rsidP="004847F7">
      <w:pPr>
        <w:ind w:firstLine="709"/>
        <w:contextualSpacing/>
        <w:jc w:val="both"/>
        <w:rPr>
          <w:b/>
          <w:bCs/>
        </w:rPr>
      </w:pPr>
      <w:r w:rsidRPr="004847F7">
        <w:rPr>
          <w:b/>
          <w:bCs/>
        </w:rPr>
        <w:t>Результаты проверки:</w:t>
      </w:r>
    </w:p>
    <w:p w14:paraId="0571ED92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</w:pPr>
      <w:bookmarkStart w:id="2" w:name="_Hlk128662967"/>
      <w:r w:rsidRPr="004847F7"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7EB3A472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</w:pPr>
      <w:r w:rsidRPr="004847F7">
        <w:t xml:space="preserve"> 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 с оглавлением.</w:t>
      </w:r>
    </w:p>
    <w:p w14:paraId="4CB8A246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</w:pPr>
      <w:r w:rsidRPr="004847F7">
        <w:t>Отчетность составлена нарастающим итогом с начала года в рублях с точностью до второго десятичного знака после запятой, отчетность сброшюрована, пронумерована, что соответствует требованиям Инструкции №191н.</w:t>
      </w:r>
    </w:p>
    <w:p w14:paraId="623630D1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</w:pPr>
      <w:r w:rsidRPr="004847F7"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Администрации Александровского района и главным бухгалтером.</w:t>
      </w:r>
    </w:p>
    <w:p w14:paraId="53FBB683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</w:pPr>
      <w:r w:rsidRPr="004847F7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7A95B1B4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  <w:rPr>
          <w:i/>
        </w:rPr>
      </w:pPr>
      <w:r w:rsidRPr="004847F7">
        <w:t>Все представленные формы годовой отчетности достоверны, и заполнены в соответствии с требованиями Инструкции №191н</w:t>
      </w:r>
      <w:r w:rsidRPr="004847F7">
        <w:rPr>
          <w:i/>
        </w:rPr>
        <w:t>, за исключением ф. 0503125.</w:t>
      </w:r>
    </w:p>
    <w:p w14:paraId="5BCF38BB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  <w:rPr>
          <w:u w:val="single"/>
        </w:rPr>
      </w:pPr>
      <w:r w:rsidRPr="004847F7">
        <w:rPr>
          <w:iCs/>
        </w:rPr>
        <w:t xml:space="preserve">Нарушения в заполнении ф.0503125 графы 1 (наименования организаций) и графы 3 (код главы по БК). </w:t>
      </w:r>
      <w:r w:rsidRPr="004847F7">
        <w:rPr>
          <w:b/>
          <w:bCs/>
          <w:u w:val="single"/>
        </w:rPr>
        <w:t>Нарушение повторное.</w:t>
      </w:r>
    </w:p>
    <w:p w14:paraId="37C03EF7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</w:pPr>
      <w:r w:rsidRPr="004847F7">
        <w:t>Осуществление расходов, непредусмотренных бюджетом, или с превышением бюджетных ассигнований проведенной проверкой не установлено.</w:t>
      </w:r>
    </w:p>
    <w:p w14:paraId="653C6C2F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  <w:rPr>
          <w:b/>
          <w:bCs/>
          <w:u w:val="single"/>
        </w:rPr>
      </w:pPr>
      <w:r w:rsidRPr="004847F7">
        <w:lastRenderedPageBreak/>
        <w:t xml:space="preserve">В соответствии с п.7 Инструкции №191н, учетной политикой учреждения перед составлением годовой бухгалтерской отчетности проведена инвентаризация расчетов с дебиторами и кредиторами. При проведении инвентаризаций расчетов с дебиторами и кредиторами, информация о распоряжении на проведение инвентаризации, и акт о результатах инвентаризации по форме (ф.0504835) не составлялись. </w:t>
      </w:r>
      <w:r w:rsidRPr="004847F7">
        <w:rPr>
          <w:b/>
          <w:bCs/>
          <w:u w:val="single"/>
        </w:rPr>
        <w:t xml:space="preserve">Нарушение повторное. </w:t>
      </w:r>
    </w:p>
    <w:p w14:paraId="5A0F3AD6" w14:textId="77777777" w:rsidR="004847F7" w:rsidRPr="004847F7" w:rsidRDefault="004847F7" w:rsidP="004847F7">
      <w:pPr>
        <w:numPr>
          <w:ilvl w:val="0"/>
          <w:numId w:val="12"/>
        </w:numPr>
        <w:ind w:left="0" w:firstLine="0"/>
        <w:contextualSpacing/>
        <w:jc w:val="both"/>
      </w:pPr>
      <w:r w:rsidRPr="004847F7">
        <w:t>В ходе контрольного мероприятия объем проверенных средств составил всего</w:t>
      </w:r>
      <w:r w:rsidRPr="004847F7">
        <w:rPr>
          <w:b/>
          <w:bCs/>
        </w:rPr>
        <w:t xml:space="preserve"> 483881804,83 тыс.руб</w:t>
      </w:r>
      <w:r w:rsidRPr="004847F7">
        <w:t>. Не целевого расходования денежных средств, финансовые нарушения в сумме</w:t>
      </w:r>
      <w:r w:rsidRPr="004847F7">
        <w:rPr>
          <w:b/>
          <w:bCs/>
        </w:rPr>
        <w:t xml:space="preserve"> 38491,47 рублей</w:t>
      </w:r>
      <w:r w:rsidRPr="004847F7">
        <w:t xml:space="preserve"> (дебиторская задолженность по услугам связи – 7389,24 руб., ГСМ – 27608,25 руб., переплата во внебюджетные фонды – 3493,98 руб.), нарушений учета имущества и нефинансовых нарушений не выявлено.</w:t>
      </w:r>
    </w:p>
    <w:p w14:paraId="155115F0" w14:textId="77777777" w:rsidR="004847F7" w:rsidRPr="004847F7" w:rsidRDefault="004847F7" w:rsidP="004847F7">
      <w:pPr>
        <w:contextualSpacing/>
        <w:rPr>
          <w:b/>
          <w:bCs/>
          <w:u w:val="single"/>
        </w:rPr>
      </w:pPr>
    </w:p>
    <w:p w14:paraId="62C344C5" w14:textId="77777777" w:rsidR="004847F7" w:rsidRPr="004847F7" w:rsidRDefault="004847F7" w:rsidP="004847F7">
      <w:pPr>
        <w:contextualSpacing/>
        <w:jc w:val="both"/>
        <w:rPr>
          <w:b/>
          <w:bCs/>
          <w:i/>
        </w:rPr>
      </w:pPr>
    </w:p>
    <w:p w14:paraId="78321653" w14:textId="77777777" w:rsidR="004847F7" w:rsidRPr="004847F7" w:rsidRDefault="004847F7" w:rsidP="004847F7">
      <w:pPr>
        <w:ind w:firstLine="708"/>
        <w:contextualSpacing/>
        <w:jc w:val="both"/>
        <w:rPr>
          <w:b/>
          <w:bCs/>
          <w:i/>
        </w:rPr>
      </w:pPr>
      <w:r w:rsidRPr="004847F7">
        <w:rPr>
          <w:b/>
          <w:bCs/>
          <w:i/>
        </w:rPr>
        <w:t>Контрольно-ревизионная комиссия рекомендует:</w:t>
      </w:r>
    </w:p>
    <w:p w14:paraId="348F6969" w14:textId="77777777" w:rsidR="004847F7" w:rsidRPr="004847F7" w:rsidRDefault="004847F7" w:rsidP="004847F7">
      <w:pPr>
        <w:numPr>
          <w:ilvl w:val="0"/>
          <w:numId w:val="3"/>
        </w:numPr>
        <w:ind w:left="0" w:firstLine="0"/>
        <w:contextualSpacing/>
        <w:jc w:val="both"/>
      </w:pPr>
      <w:r w:rsidRPr="004847F7">
        <w:t>Продолжать составление форм, таблиц и сведений в строгом соответствии с требованиями инструкции 191н.</w:t>
      </w:r>
    </w:p>
    <w:p w14:paraId="7CCBB356" w14:textId="77777777" w:rsidR="004847F7" w:rsidRPr="004847F7" w:rsidRDefault="004847F7" w:rsidP="004847F7">
      <w:pPr>
        <w:numPr>
          <w:ilvl w:val="0"/>
          <w:numId w:val="3"/>
        </w:numPr>
        <w:ind w:left="0" w:firstLine="0"/>
        <w:contextualSpacing/>
        <w:jc w:val="both"/>
      </w:pPr>
      <w:r w:rsidRPr="004847F7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2DABF469" w14:textId="77777777" w:rsidR="004847F7" w:rsidRPr="004847F7" w:rsidRDefault="004847F7" w:rsidP="004847F7">
      <w:pPr>
        <w:numPr>
          <w:ilvl w:val="0"/>
          <w:numId w:val="3"/>
        </w:numPr>
        <w:ind w:left="0" w:firstLine="0"/>
        <w:contextualSpacing/>
        <w:jc w:val="both"/>
      </w:pPr>
      <w:r w:rsidRPr="004847F7">
        <w:t>Обеспечить действенный внутренний финансовый контроль и внутренний финансовый аудит.</w:t>
      </w:r>
    </w:p>
    <w:bookmarkEnd w:id="2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0DBD17DB" w:rsidR="00D004F2" w:rsidRDefault="00D004F2" w:rsidP="00F915D1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9045F3">
        <w:t>г</w:t>
      </w:r>
      <w:r w:rsidR="009045F3" w:rsidRPr="009045F3">
        <w:t>лав</w:t>
      </w:r>
      <w:r w:rsidR="009045F3">
        <w:t>ой</w:t>
      </w:r>
      <w:r w:rsidR="009045F3" w:rsidRPr="009045F3">
        <w:t xml:space="preserve">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49E20938" w:rsidR="00D97F8E" w:rsidRDefault="00265191" w:rsidP="00D97F8E">
      <w:pPr>
        <w:jc w:val="right"/>
      </w:pPr>
      <w:r w:rsidRPr="004847F7">
        <w:t>1</w:t>
      </w:r>
      <w:r w:rsidR="007A6BC4" w:rsidRPr="004847F7">
        <w:t>6</w:t>
      </w:r>
      <w:r w:rsidR="00D97F8E" w:rsidRPr="004847F7">
        <w:t xml:space="preserve"> </w:t>
      </w:r>
      <w:r w:rsidR="00F915D1" w:rsidRPr="004847F7">
        <w:t>марта</w:t>
      </w:r>
      <w:r w:rsidR="00D97F8E" w:rsidRPr="004847F7">
        <w:t xml:space="preserve"> 2023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40D37" w14:textId="77777777" w:rsidR="007146D8" w:rsidRDefault="007146D8">
      <w:r>
        <w:separator/>
      </w:r>
    </w:p>
  </w:endnote>
  <w:endnote w:type="continuationSeparator" w:id="0">
    <w:p w14:paraId="3BC9F5E5" w14:textId="77777777" w:rsidR="007146D8" w:rsidRDefault="0071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2196">
      <w:rPr>
        <w:rStyle w:val="a9"/>
        <w:noProof/>
      </w:rPr>
      <w:t>2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A0A17" w14:textId="77777777" w:rsidR="007146D8" w:rsidRDefault="007146D8">
      <w:r>
        <w:separator/>
      </w:r>
    </w:p>
  </w:footnote>
  <w:footnote w:type="continuationSeparator" w:id="0">
    <w:p w14:paraId="01919C49" w14:textId="77777777" w:rsidR="007146D8" w:rsidRDefault="00714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3F2D7451"/>
    <w:multiLevelType w:val="hybridMultilevel"/>
    <w:tmpl w:val="4A10D3DE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FF77767"/>
    <w:multiLevelType w:val="hybridMultilevel"/>
    <w:tmpl w:val="15C200E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94D2BBC"/>
    <w:multiLevelType w:val="hybridMultilevel"/>
    <w:tmpl w:val="DE2CC14A"/>
    <w:lvl w:ilvl="0" w:tplc="D0FCF3E6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00130335">
    <w:abstractNumId w:val="10"/>
  </w:num>
  <w:num w:numId="2" w16cid:durableId="728461856">
    <w:abstractNumId w:val="5"/>
  </w:num>
  <w:num w:numId="3" w16cid:durableId="134173967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9">
    <w:abstractNumId w:val="1"/>
  </w:num>
  <w:num w:numId="5" w16cid:durableId="1283875521">
    <w:abstractNumId w:val="11"/>
  </w:num>
  <w:num w:numId="6" w16cid:durableId="785543603">
    <w:abstractNumId w:val="4"/>
  </w:num>
  <w:num w:numId="7" w16cid:durableId="690448143">
    <w:abstractNumId w:val="0"/>
  </w:num>
  <w:num w:numId="8" w16cid:durableId="1752118687">
    <w:abstractNumId w:val="7"/>
  </w:num>
  <w:num w:numId="9" w16cid:durableId="1997417935">
    <w:abstractNumId w:val="2"/>
  </w:num>
  <w:num w:numId="10" w16cid:durableId="268512062">
    <w:abstractNumId w:val="8"/>
  </w:num>
  <w:num w:numId="11" w16cid:durableId="579943446">
    <w:abstractNumId w:val="6"/>
  </w:num>
  <w:num w:numId="12" w16cid:durableId="116281910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47F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46D8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6BC4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45F3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4E95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2AAC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1128-3BF5-4818-B1C1-6912B03D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3</cp:revision>
  <cp:lastPrinted>2023-03-16T04:49:00Z</cp:lastPrinted>
  <dcterms:created xsi:type="dcterms:W3CDTF">2023-03-02T08:23:00Z</dcterms:created>
  <dcterms:modified xsi:type="dcterms:W3CDTF">2023-03-16T04:49:00Z</dcterms:modified>
</cp:coreProperties>
</file>